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488A1" w14:textId="6543BDFC" w:rsidR="00B9643C" w:rsidRPr="004B48FF" w:rsidRDefault="00B9643C" w:rsidP="00B9643C">
      <w:pPr>
        <w:tabs>
          <w:tab w:val="left" w:pos="1979"/>
        </w:tabs>
        <w:spacing w:after="180" w:line="240" w:lineRule="auto"/>
        <w:jc w:val="left"/>
        <w:rPr>
          <w:rFonts w:ascii="Arial" w:hAnsi="Arial" w:cs="Arial"/>
          <w:b/>
          <w:bCs/>
          <w:lang w:val="en-US" w:eastAsia="en-US"/>
        </w:rPr>
      </w:pPr>
      <w:bookmarkStart w:id="0" w:name="OLE_LINK283"/>
      <w:bookmarkStart w:id="1" w:name="_GoBack"/>
      <w:bookmarkEnd w:id="1"/>
      <w:r w:rsidRPr="00712037">
        <w:rPr>
          <w:rFonts w:ascii="Arial" w:hAnsi="Arial" w:cs="Arial"/>
          <w:b/>
          <w:bCs/>
          <w:lang w:val="en-US" w:eastAsia="en-US"/>
        </w:rPr>
        <w:t>3GPP</w:t>
      </w:r>
      <w:r w:rsidR="00EE7274" w:rsidRPr="004B48FF">
        <w:rPr>
          <w:rFonts w:ascii="Arial" w:hAnsi="Arial" w:cs="Arial"/>
          <w:b/>
          <w:bCs/>
          <w:lang w:val="en-US" w:eastAsia="en-US"/>
        </w:rPr>
        <w:t xml:space="preserve"> TSG RAN WG1 #102-e</w:t>
      </w:r>
      <w:r w:rsidR="00EE7274" w:rsidRPr="004B48FF" w:rsidDel="00EE7274">
        <w:rPr>
          <w:rFonts w:ascii="Arial" w:hAnsi="Arial" w:cs="Arial"/>
          <w:b/>
          <w:bCs/>
          <w:lang w:val="en-US" w:eastAsia="en-US"/>
        </w:rPr>
        <w:t xml:space="preserve"> </w:t>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t xml:space="preserve">    </w:t>
      </w:r>
      <w:r w:rsidR="00EE7274" w:rsidRPr="004B48FF">
        <w:rPr>
          <w:rFonts w:ascii="Arial" w:hAnsi="Arial" w:cs="Arial"/>
          <w:b/>
          <w:bCs/>
          <w:lang w:val="en-US" w:eastAsia="en-US"/>
        </w:rPr>
        <w:t xml:space="preserve">  </w:t>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265032" w:rsidRPr="004B48FF">
        <w:rPr>
          <w:rFonts w:ascii="Arial" w:hAnsi="Arial" w:cs="Arial"/>
          <w:b/>
          <w:bCs/>
          <w:lang w:val="en-US" w:eastAsia="en-US"/>
        </w:rPr>
        <w:tab/>
      </w:r>
      <w:r w:rsidR="00D94352" w:rsidRPr="004B48FF">
        <w:rPr>
          <w:rFonts w:ascii="Arial" w:hAnsi="Arial" w:cs="Arial"/>
          <w:b/>
          <w:bCs/>
          <w:lang w:val="en-US" w:eastAsia="en-US"/>
        </w:rPr>
        <w:t>R</w:t>
      </w:r>
      <w:r w:rsidR="00815F67" w:rsidRPr="004B48FF">
        <w:rPr>
          <w:rFonts w:ascii="Arial" w:hAnsi="Arial" w:cs="Arial"/>
          <w:b/>
          <w:bCs/>
          <w:lang w:val="en-US" w:eastAsia="en-US"/>
        </w:rPr>
        <w:t>1</w:t>
      </w:r>
      <w:r w:rsidR="00D94352" w:rsidRPr="004B48FF">
        <w:rPr>
          <w:rFonts w:ascii="Arial" w:hAnsi="Arial" w:cs="Arial"/>
          <w:b/>
          <w:bCs/>
          <w:lang w:val="en-US" w:eastAsia="en-US"/>
        </w:rPr>
        <w:t>-</w:t>
      </w:r>
      <w:r w:rsidR="00EE7274" w:rsidRPr="004B48FF">
        <w:rPr>
          <w:rFonts w:ascii="Arial" w:hAnsi="Arial" w:cs="Arial"/>
          <w:b/>
          <w:bCs/>
          <w:lang w:val="en-US" w:eastAsia="en-US"/>
        </w:rPr>
        <w:t>2005408</w:t>
      </w:r>
    </w:p>
    <w:bookmarkEnd w:id="0"/>
    <w:p w14:paraId="27CAEAD4" w14:textId="2FC489BF" w:rsidR="00D92427" w:rsidRPr="004B48FF" w:rsidRDefault="00B9643C" w:rsidP="00B9643C">
      <w:pPr>
        <w:tabs>
          <w:tab w:val="left" w:pos="1979"/>
        </w:tabs>
        <w:spacing w:after="180" w:line="240" w:lineRule="auto"/>
        <w:jc w:val="left"/>
        <w:rPr>
          <w:rFonts w:ascii="Arial" w:hAnsi="Arial" w:cs="Arial"/>
          <w:b/>
          <w:bCs/>
          <w:sz w:val="28"/>
          <w:lang w:val="en-US" w:eastAsia="en-US"/>
        </w:rPr>
      </w:pPr>
      <w:r w:rsidRPr="004B48FF">
        <w:rPr>
          <w:rFonts w:ascii="Arial" w:hAnsi="Arial" w:cs="Arial"/>
          <w:b/>
          <w:bCs/>
          <w:lang w:val="en-US" w:eastAsia="en-US"/>
        </w:rPr>
        <w:t xml:space="preserve">E-Meeting, </w:t>
      </w:r>
      <w:r w:rsidR="00EE7274" w:rsidRPr="004B48FF">
        <w:rPr>
          <w:rFonts w:ascii="Arial" w:hAnsi="Arial" w:cs="Arial"/>
          <w:b/>
          <w:bCs/>
          <w:lang w:val="en-US" w:eastAsia="en-US"/>
        </w:rPr>
        <w:t>August 17</w:t>
      </w:r>
      <w:r w:rsidR="00EE7274" w:rsidRPr="004B48FF">
        <w:rPr>
          <w:rFonts w:ascii="Arial" w:hAnsi="Arial" w:cs="Arial"/>
          <w:b/>
          <w:bCs/>
          <w:vertAlign w:val="superscript"/>
          <w:lang w:val="en-US" w:eastAsia="en-US"/>
        </w:rPr>
        <w:t>th</w:t>
      </w:r>
      <w:r w:rsidR="00EE7274" w:rsidRPr="004B48FF">
        <w:rPr>
          <w:rFonts w:ascii="Arial" w:hAnsi="Arial" w:cs="Arial"/>
          <w:b/>
          <w:bCs/>
          <w:lang w:val="en-US" w:eastAsia="en-US"/>
        </w:rPr>
        <w:t xml:space="preserve"> – 28</w:t>
      </w:r>
      <w:r w:rsidR="00EE7274" w:rsidRPr="004B48FF">
        <w:rPr>
          <w:rFonts w:ascii="Arial" w:hAnsi="Arial" w:cs="Arial"/>
          <w:b/>
          <w:bCs/>
          <w:vertAlign w:val="superscript"/>
          <w:lang w:val="en-US" w:eastAsia="en-US"/>
        </w:rPr>
        <w:t>th</w:t>
      </w:r>
      <w:r w:rsidR="00EE7274" w:rsidRPr="004B48FF">
        <w:rPr>
          <w:rFonts w:ascii="Arial" w:hAnsi="Arial" w:cs="Arial"/>
          <w:b/>
          <w:bCs/>
          <w:lang w:val="en-US" w:eastAsia="en-US"/>
        </w:rPr>
        <w:t xml:space="preserve">, </w:t>
      </w:r>
      <w:r w:rsidRPr="004B48FF">
        <w:rPr>
          <w:rFonts w:ascii="Arial" w:hAnsi="Arial" w:cs="Arial"/>
          <w:b/>
          <w:bCs/>
          <w:lang w:val="en-US" w:eastAsia="en-US"/>
        </w:rPr>
        <w:t>2020</w:t>
      </w:r>
      <w:r w:rsidR="00642D47" w:rsidRPr="004B48FF">
        <w:rPr>
          <w:rFonts w:ascii="Arial" w:hAnsi="Arial" w:cs="Arial"/>
          <w:b/>
          <w:bCs/>
          <w:lang w:val="en-US" w:eastAsia="en-US"/>
        </w:rPr>
        <w:tab/>
      </w:r>
      <w:r w:rsidR="00CD314A"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FE526B" w:rsidRPr="004B48FF">
        <w:rPr>
          <w:rFonts w:ascii="Arial" w:hAnsi="Arial" w:cs="Arial"/>
          <w:b/>
          <w:bCs/>
          <w:sz w:val="28"/>
          <w:lang w:val="en-US" w:eastAsia="en-US"/>
        </w:rPr>
        <w:t xml:space="preserve"> </w:t>
      </w:r>
      <w:r w:rsidR="00885A48" w:rsidRPr="004B48FF">
        <w:rPr>
          <w:rFonts w:ascii="Arial" w:hAnsi="Arial" w:cs="Arial"/>
          <w:b/>
          <w:bCs/>
          <w:sz w:val="28"/>
          <w:lang w:val="en-US" w:eastAsia="en-US"/>
        </w:rPr>
        <w:t xml:space="preserve">   </w:t>
      </w:r>
      <w:r w:rsidR="00C507E5" w:rsidRPr="004B48FF">
        <w:rPr>
          <w:rFonts w:ascii="Arial" w:hAnsi="Arial" w:cs="Arial"/>
          <w:b/>
          <w:bCs/>
          <w:sz w:val="28"/>
          <w:lang w:val="en-US" w:eastAsia="en-US"/>
        </w:rPr>
        <w:tab/>
      </w:r>
      <w:r w:rsidR="00FC6FAE" w:rsidRPr="004B48FF">
        <w:rPr>
          <w:rFonts w:ascii="Arial" w:hAnsi="Arial" w:cs="Arial"/>
          <w:b/>
          <w:bCs/>
          <w:sz w:val="28"/>
          <w:lang w:val="en-US" w:eastAsia="en-US"/>
        </w:rPr>
        <w:t xml:space="preserve"> </w:t>
      </w:r>
    </w:p>
    <w:p w14:paraId="2E9F90F9" w14:textId="756FDD63" w:rsidR="00003169" w:rsidRDefault="00003169" w:rsidP="00601C18">
      <w:pPr>
        <w:tabs>
          <w:tab w:val="left" w:pos="1979"/>
        </w:tabs>
        <w:spacing w:after="0" w:line="240" w:lineRule="auto"/>
        <w:jc w:val="left"/>
        <w:rPr>
          <w:rFonts w:ascii="Arial" w:hAnsi="Arial" w:cs="Arial"/>
          <w:b/>
          <w:bCs/>
          <w:sz w:val="24"/>
          <w:lang w:val="en-US" w:eastAsia="en-US"/>
        </w:rPr>
      </w:pPr>
    </w:p>
    <w:p w14:paraId="4278F73C" w14:textId="7777777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Source:</w:t>
      </w:r>
      <w:r>
        <w:rPr>
          <w:rFonts w:ascii="Arial" w:eastAsia="Times New Roman" w:hAnsi="Arial" w:cs="Arial"/>
          <w:b/>
          <w:sz w:val="20"/>
          <w:szCs w:val="24"/>
          <w:lang w:eastAsia="en-US"/>
        </w:rPr>
        <w:tab/>
      </w:r>
      <w:r>
        <w:rPr>
          <w:rFonts w:ascii="Arial" w:hAnsi="Arial" w:cs="Arial" w:hint="eastAsia"/>
          <w:b/>
          <w:sz w:val="20"/>
          <w:szCs w:val="24"/>
        </w:rPr>
        <w:t>vivo</w:t>
      </w:r>
    </w:p>
    <w:p w14:paraId="35B194F6" w14:textId="526A5D71" w:rsidR="00712037" w:rsidRDefault="00712037" w:rsidP="00712037">
      <w:pPr>
        <w:tabs>
          <w:tab w:val="left" w:pos="1595"/>
          <w:tab w:val="left" w:pos="2552"/>
        </w:tabs>
        <w:ind w:left="1558" w:hangingChars="776" w:hanging="1558"/>
        <w:rPr>
          <w:rFonts w:ascii="Arial" w:hAnsi="Arial" w:cs="Arial"/>
          <w:b/>
          <w:sz w:val="20"/>
          <w:szCs w:val="24"/>
        </w:rPr>
      </w:pPr>
      <w:r>
        <w:rPr>
          <w:rFonts w:ascii="Arial" w:eastAsia="Times New Roman" w:hAnsi="Arial" w:cs="Arial"/>
          <w:b/>
          <w:sz w:val="20"/>
          <w:szCs w:val="24"/>
          <w:lang w:eastAsia="en-US"/>
        </w:rPr>
        <w:t>Title:</w:t>
      </w:r>
      <w:r>
        <w:rPr>
          <w:rFonts w:ascii="Arial" w:hAnsi="Arial" w:cs="Arial" w:hint="eastAsia"/>
          <w:b/>
          <w:sz w:val="20"/>
          <w:szCs w:val="24"/>
        </w:rPr>
        <w:tab/>
      </w:r>
      <w:r w:rsidRPr="00251F4A">
        <w:rPr>
          <w:rFonts w:ascii="Arial" w:hAnsi="Arial" w:cs="Arial"/>
          <w:b/>
          <w:sz w:val="20"/>
          <w:szCs w:val="24"/>
        </w:rPr>
        <w:t xml:space="preserve">Discussion on </w:t>
      </w:r>
      <w:bookmarkStart w:id="2" w:name="_Hlk47345766"/>
      <w:r w:rsidRPr="00712037">
        <w:rPr>
          <w:rFonts w:ascii="Arial" w:hAnsi="Arial" w:cs="Arial"/>
          <w:b/>
          <w:sz w:val="20"/>
          <w:szCs w:val="24"/>
        </w:rPr>
        <w:t>basic functions for broadcast/multicast for RRC_IDLE/RRC_INACTIVE</w:t>
      </w:r>
      <w:r w:rsidRPr="00251F4A">
        <w:rPr>
          <w:rFonts w:ascii="Arial" w:hAnsi="Arial" w:cs="Arial"/>
          <w:b/>
          <w:sz w:val="20"/>
          <w:szCs w:val="24"/>
        </w:rPr>
        <w:t xml:space="preserve"> UEs</w:t>
      </w:r>
    </w:p>
    <w:bookmarkEnd w:id="2"/>
    <w:p w14:paraId="78AC64E0" w14:textId="23A6AF3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Agenda Item:</w:t>
      </w:r>
      <w:r>
        <w:rPr>
          <w:rFonts w:ascii="Arial" w:eastAsia="Times New Roman" w:hAnsi="Arial" w:cs="Arial"/>
          <w:b/>
          <w:sz w:val="20"/>
          <w:szCs w:val="24"/>
          <w:lang w:eastAsia="en-US"/>
        </w:rPr>
        <w:tab/>
        <w:t>8.12.3</w:t>
      </w:r>
    </w:p>
    <w:p w14:paraId="5F8D155A" w14:textId="52F4B960" w:rsidR="00712037" w:rsidRPr="004B48FF" w:rsidRDefault="00712037" w:rsidP="004B48FF">
      <w:pPr>
        <w:rPr>
          <w:rFonts w:cs="Arial"/>
        </w:rPr>
      </w:pPr>
      <w:r>
        <w:rPr>
          <w:rFonts w:ascii="Arial" w:eastAsia="Times New Roman" w:hAnsi="Arial" w:cs="Arial"/>
          <w:b/>
          <w:sz w:val="20"/>
          <w:szCs w:val="24"/>
          <w:lang w:eastAsia="en-US"/>
        </w:rPr>
        <w:t>Document for:  Discussion</w:t>
      </w:r>
      <w:r>
        <w:rPr>
          <w:rFonts w:ascii="Arial" w:hAnsi="Arial" w:cs="Arial"/>
          <w:b/>
          <w:sz w:val="20"/>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3" w:name="_Ref165266342"/>
      <w:r>
        <w:t>Introduction</w:t>
      </w:r>
      <w:bookmarkEnd w:id="3"/>
    </w:p>
    <w:p w14:paraId="3E4F7A37" w14:textId="3391956C" w:rsidR="00454558" w:rsidRDefault="001A696F">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IDLE/INACTIVE UE</w:t>
      </w:r>
      <w:r w:rsidR="009668AF">
        <w:t>s</w:t>
      </w:r>
      <w:r w:rsidR="00FD63FD">
        <w:t xml:space="preserve"> and the CONNECTED UE</w:t>
      </w:r>
      <w:r w:rsidR="009668AF">
        <w:t>s</w:t>
      </w:r>
      <w:r w:rsidR="00DB12BF">
        <w:t xml:space="preserve">. In this contribution we </w:t>
      </w:r>
      <w:r w:rsidR="006C12F8">
        <w:t xml:space="preserve">provide our understandings on </w:t>
      </w:r>
      <w:r w:rsidR="00E91924">
        <w:t>how the IDLE UE</w:t>
      </w:r>
      <w:r w:rsidR="009668AF">
        <w:t>s</w:t>
      </w:r>
      <w:r w:rsidR="00E91924">
        <w:t xml:space="preserve"> receive the MBS service.</w:t>
      </w:r>
    </w:p>
    <w:p w14:paraId="6B332CC7" w14:textId="77777777" w:rsidR="00DA44DE" w:rsidRDefault="00DA44DE" w:rsidP="00DA44DE">
      <w:pPr>
        <w:pStyle w:val="1"/>
        <w:tabs>
          <w:tab w:val="left" w:pos="432"/>
        </w:tabs>
        <w:jc w:val="left"/>
      </w:pPr>
      <w:r>
        <w:rPr>
          <w:rFonts w:hint="eastAsia"/>
        </w:rPr>
        <w:t>Discussion</w:t>
      </w:r>
    </w:p>
    <w:p w14:paraId="3D93DB17" w14:textId="45191DAF" w:rsidR="00A94FFC" w:rsidRPr="00A94FFC" w:rsidRDefault="00C252EB" w:rsidP="00647996">
      <w:pPr>
        <w:pStyle w:val="2"/>
        <w:keepLines w:val="0"/>
        <w:tabs>
          <w:tab w:val="clear" w:pos="1002"/>
          <w:tab w:val="num" w:pos="576"/>
        </w:tabs>
        <w:spacing w:line="240" w:lineRule="auto"/>
        <w:ind w:left="0" w:firstLine="0"/>
        <w:jc w:val="left"/>
        <w:rPr>
          <w:b/>
        </w:rPr>
      </w:pPr>
      <w:r>
        <w:t>MBS</w:t>
      </w:r>
      <w:r w:rsidR="00564D41">
        <w:t xml:space="preserve"> BWP</w:t>
      </w:r>
    </w:p>
    <w:p w14:paraId="3EF44864" w14:textId="731E18D6" w:rsidR="008720D2" w:rsidRPr="0095019F" w:rsidRDefault="00F470DF" w:rsidP="008720D2">
      <w:pPr>
        <w:rPr>
          <w:b/>
        </w:rPr>
      </w:pPr>
      <w:r>
        <w:t>According to the current specification</w:t>
      </w:r>
      <w:r w:rsidR="006050A3">
        <w:t xml:space="preserve"> [2]</w:t>
      </w:r>
      <w:r>
        <w:t>, the IDLE/INACTIVE UE only camps on the initial BWP of a cell</w:t>
      </w:r>
      <w:r w:rsidR="009B2B9E">
        <w:t xml:space="preserve">. </w:t>
      </w:r>
      <w:r w:rsidR="00EE7274">
        <w:t>However,</w:t>
      </w:r>
      <w:r w:rsidR="009B2B9E">
        <w:t xml:space="preserve"> a cell may provide </w:t>
      </w:r>
      <w:r w:rsidR="00645A5A">
        <w:t>the</w:t>
      </w:r>
      <w:r w:rsidR="009B2B9E">
        <w:t xml:space="preserve"> UEs</w:t>
      </w:r>
      <w:r w:rsidR="00645A5A">
        <w:t xml:space="preserve"> with a large number of MBS services</w:t>
      </w:r>
      <w:r w:rsidR="009B2B9E">
        <w:t>. If the MBS service is only transmitted via the initial BWP</w:t>
      </w:r>
      <w:r w:rsidR="00186F3D">
        <w:t xml:space="preserve">, we may need to configure a very larger bandwidth for the initial BWP, this will cause unnecessary </w:t>
      </w:r>
      <w:r w:rsidR="009A58B1">
        <w:t>power consumption of UEs not interested in receiving the MBS service</w:t>
      </w:r>
      <w:r w:rsidR="00F12778">
        <w:t>.</w:t>
      </w:r>
    </w:p>
    <w:p w14:paraId="77C4A82D" w14:textId="77777777" w:rsidR="00196732" w:rsidRDefault="00D63C96" w:rsidP="00196732">
      <w:pPr>
        <w:keepNext/>
        <w:jc w:val="center"/>
      </w:pPr>
      <w:r>
        <w:object w:dxaOrig="8101" w:dyaOrig="2596" w14:anchorId="3D735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1pt;height:129.4pt" o:ole="">
            <v:imagedata r:id="rId8" o:title=""/>
          </v:shape>
          <o:OLEObject Type="Embed" ProgID="Visio.Drawing.15" ShapeID="_x0000_i1025" DrawAspect="Content" ObjectID="_1658347160" r:id="rId9"/>
        </w:object>
      </w:r>
    </w:p>
    <w:p w14:paraId="5D50CF77" w14:textId="2F327361" w:rsidR="008F6005" w:rsidRDefault="00196732" w:rsidP="00196732">
      <w:pPr>
        <w:pStyle w:val="af9"/>
        <w:jc w:val="center"/>
      </w:pPr>
      <w:r>
        <w:t xml:space="preserve">Figure </w:t>
      </w:r>
      <w:r>
        <w:fldChar w:fldCharType="begin"/>
      </w:r>
      <w:r>
        <w:instrText xml:space="preserve"> SEQ Figure \* ARABIC </w:instrText>
      </w:r>
      <w:r>
        <w:fldChar w:fldCharType="separate"/>
      </w:r>
      <w:r>
        <w:rPr>
          <w:noProof/>
        </w:rPr>
        <w:t>1</w:t>
      </w:r>
      <w:r>
        <w:fldChar w:fldCharType="end"/>
      </w:r>
      <w:r>
        <w:t>: MBS BWP</w:t>
      </w:r>
    </w:p>
    <w:p w14:paraId="51B5F1E8" w14:textId="23322117" w:rsidR="00D63C96" w:rsidRDefault="00BD0F13" w:rsidP="00CD66BD">
      <w:r>
        <w:t>However if the MBS transmission is in a BWP which does not overl</w:t>
      </w:r>
      <w:r w:rsidR="004C67DE">
        <w:t xml:space="preserve">ap with the </w:t>
      </w:r>
      <w:r w:rsidR="00103C3E">
        <w:t xml:space="preserve">initial BWP, the UE would </w:t>
      </w:r>
      <w:r w:rsidR="001102AD">
        <w:t xml:space="preserve">require </w:t>
      </w:r>
      <w:r w:rsidR="00B73806">
        <w:t>BWP switching between the MBS BWP</w:t>
      </w:r>
      <w:r w:rsidR="00B2449B">
        <w:t xml:space="preserve"> (i.e. for the MBS reception)</w:t>
      </w:r>
      <w:r w:rsidR="00B73806">
        <w:t xml:space="preserve"> and the initial BWP</w:t>
      </w:r>
      <w:r w:rsidR="00B2449B">
        <w:t xml:space="preserve"> (i.e. for the paging/SI reception)</w:t>
      </w:r>
      <w:r w:rsidR="00586EC3">
        <w:t>.</w:t>
      </w:r>
      <w:r w:rsidR="0021130E">
        <w:t xml:space="preserve"> The BWP switching may cause </w:t>
      </w:r>
      <w:r w:rsidR="003933A1">
        <w:t>DL</w:t>
      </w:r>
      <w:r w:rsidR="0021130E">
        <w:t xml:space="preserve"> transmission interruption/loss</w:t>
      </w:r>
      <w:r w:rsidR="003D04B3">
        <w:t xml:space="preserve">. Thus to avoid the </w:t>
      </w:r>
      <w:r w:rsidR="00196732">
        <w:t xml:space="preserve">BWP switching, we consider that the MBS BWP could include the initial BWP (as </w:t>
      </w:r>
      <w:r w:rsidR="008B74E6">
        <w:t>shown in Case 1</w:t>
      </w:r>
      <w:r w:rsidR="00196732">
        <w:t>)</w:t>
      </w:r>
      <w:r w:rsidR="00356593">
        <w:t xml:space="preserve"> or be included within the initial BWP</w:t>
      </w:r>
      <w:r w:rsidR="003B4FD4">
        <w:t xml:space="preserve"> (as shown in Case 2). For Case 2, we think that the MBS transmission within the initial BWP can be left to the gNB implementation, as the MBS </w:t>
      </w:r>
      <w:r w:rsidR="00D91FE6">
        <w:t>transmission</w:t>
      </w:r>
      <w:r w:rsidR="003B4FD4">
        <w:t xml:space="preserve"> can be dynamically scheduled by using any PRB of the </w:t>
      </w:r>
      <w:r w:rsidR="003A0F07">
        <w:t>initial BWP.</w:t>
      </w:r>
    </w:p>
    <w:p w14:paraId="68601D74" w14:textId="64ABCA51" w:rsidR="00FF125A" w:rsidRDefault="00014C4F" w:rsidP="00CD66BD">
      <w:pPr>
        <w:rPr>
          <w:b/>
        </w:rPr>
      </w:pPr>
      <w:r w:rsidRPr="005A6DDC">
        <w:rPr>
          <w:b/>
        </w:rPr>
        <w:t>Proposal 1:</w:t>
      </w:r>
      <w:r w:rsidR="002058BD" w:rsidRPr="005A6DDC">
        <w:rPr>
          <w:b/>
        </w:rPr>
        <w:t xml:space="preserve"> </w:t>
      </w:r>
      <w:r w:rsidR="00EE7274">
        <w:rPr>
          <w:b/>
        </w:rPr>
        <w:t>F</w:t>
      </w:r>
      <w:r w:rsidR="00FF125A">
        <w:rPr>
          <w:b/>
        </w:rPr>
        <w:t xml:space="preserve">or MBS transmission bandwidth part, the following </w:t>
      </w:r>
      <w:r w:rsidR="009D6E1F">
        <w:rPr>
          <w:b/>
        </w:rPr>
        <w:t xml:space="preserve">cases </w:t>
      </w:r>
      <w:r w:rsidR="00FF125A">
        <w:rPr>
          <w:b/>
        </w:rPr>
        <w:t>are supported for Rel-17 MBS</w:t>
      </w:r>
      <w:r w:rsidR="00CE392D">
        <w:rPr>
          <w:b/>
        </w:rPr>
        <w:t>.</w:t>
      </w:r>
    </w:p>
    <w:p w14:paraId="07C15FBF" w14:textId="2D7D79F1" w:rsidR="00014C4F" w:rsidRPr="004B48FF" w:rsidRDefault="009D6E1F" w:rsidP="004B48FF">
      <w:pPr>
        <w:pStyle w:val="af6"/>
        <w:numPr>
          <w:ilvl w:val="0"/>
          <w:numId w:val="43"/>
        </w:numPr>
        <w:ind w:firstLineChars="0"/>
        <w:rPr>
          <w:b/>
          <w:sz w:val="22"/>
        </w:rPr>
      </w:pPr>
      <w:r w:rsidRPr="004B48FF">
        <w:rPr>
          <w:b/>
          <w:sz w:val="22"/>
        </w:rPr>
        <w:t>case</w:t>
      </w:r>
      <w:r w:rsidR="00FF125A" w:rsidRPr="004B48FF">
        <w:rPr>
          <w:b/>
          <w:sz w:val="22"/>
        </w:rPr>
        <w:t xml:space="preserve"> 1: </w:t>
      </w:r>
      <w:r w:rsidR="00B257A5" w:rsidRPr="004B48FF">
        <w:rPr>
          <w:b/>
          <w:sz w:val="22"/>
        </w:rPr>
        <w:t xml:space="preserve">The MBS transmission </w:t>
      </w:r>
      <w:r w:rsidR="00FF125A" w:rsidRPr="004B48FF">
        <w:rPr>
          <w:b/>
          <w:sz w:val="22"/>
        </w:rPr>
        <w:t>is</w:t>
      </w:r>
      <w:r w:rsidR="00B257A5" w:rsidRPr="004B48FF">
        <w:rPr>
          <w:b/>
          <w:sz w:val="22"/>
        </w:rPr>
        <w:t xml:space="preserve"> included within the initial BWP.</w:t>
      </w:r>
    </w:p>
    <w:p w14:paraId="1D44D9FB" w14:textId="572EF093" w:rsidR="00B257A5" w:rsidRPr="004B48FF" w:rsidRDefault="009D6E1F" w:rsidP="004B48FF">
      <w:pPr>
        <w:pStyle w:val="af6"/>
        <w:numPr>
          <w:ilvl w:val="0"/>
          <w:numId w:val="43"/>
        </w:numPr>
        <w:ind w:firstLineChars="0"/>
        <w:rPr>
          <w:b/>
          <w:sz w:val="22"/>
        </w:rPr>
      </w:pPr>
      <w:r w:rsidRPr="004B48FF">
        <w:rPr>
          <w:b/>
          <w:sz w:val="22"/>
        </w:rPr>
        <w:t>case</w:t>
      </w:r>
      <w:r w:rsidR="00FF125A" w:rsidRPr="004B48FF">
        <w:rPr>
          <w:b/>
          <w:sz w:val="22"/>
        </w:rPr>
        <w:t xml:space="preserve"> </w:t>
      </w:r>
      <w:r w:rsidR="00B257A5" w:rsidRPr="004B48FF">
        <w:rPr>
          <w:b/>
          <w:sz w:val="22"/>
        </w:rPr>
        <w:t>2:</w:t>
      </w:r>
      <w:r w:rsidR="00B70758" w:rsidRPr="004B48FF">
        <w:rPr>
          <w:b/>
          <w:sz w:val="22"/>
        </w:rPr>
        <w:t xml:space="preserve"> </w:t>
      </w:r>
      <w:r w:rsidR="00FF125A" w:rsidRPr="004B48FF">
        <w:rPr>
          <w:b/>
          <w:sz w:val="22"/>
        </w:rPr>
        <w:t>The initial BWP is included within the MBS transmission bandwidth.</w:t>
      </w:r>
    </w:p>
    <w:p w14:paraId="4B67F1E8" w14:textId="55A2F55D" w:rsidR="00081E1D" w:rsidRDefault="00081E1D" w:rsidP="00AA1855">
      <w:pPr>
        <w:pStyle w:val="2"/>
        <w:keepLines w:val="0"/>
        <w:tabs>
          <w:tab w:val="clear" w:pos="1002"/>
          <w:tab w:val="num" w:pos="576"/>
        </w:tabs>
        <w:spacing w:line="240" w:lineRule="auto"/>
        <w:ind w:left="0" w:firstLine="0"/>
        <w:jc w:val="left"/>
      </w:pPr>
      <w:r>
        <w:lastRenderedPageBreak/>
        <w:t xml:space="preserve">MBS </w:t>
      </w:r>
      <w:r w:rsidR="00371736">
        <w:t>PDCCH</w:t>
      </w:r>
    </w:p>
    <w:p w14:paraId="1E23B3CF" w14:textId="51AAACBE" w:rsidR="00CC110F" w:rsidRDefault="00081BB8" w:rsidP="00CD66BD">
      <w:r>
        <w:t>When the IDLE/INACTIVE UE is moving around</w:t>
      </w:r>
      <w:r w:rsidR="006538C8">
        <w:t xml:space="preserve"> and the </w:t>
      </w:r>
      <w:r w:rsidR="00CF15D4">
        <w:t xml:space="preserve">gNB is </w:t>
      </w:r>
      <w:r w:rsidR="00E40BBA">
        <w:t xml:space="preserve">using beam sweeping for the </w:t>
      </w:r>
      <w:r w:rsidR="00004F26">
        <w:t>transmission</w:t>
      </w:r>
      <w:r w:rsidR="003A166B">
        <w:t xml:space="preserve"> of the MBS service</w:t>
      </w:r>
      <w:r>
        <w:t>, the UE should be able to select a proper beam for the MBS reception</w:t>
      </w:r>
      <w:r w:rsidR="0009193A">
        <w:t>. We consider that we could use a similar way as paging</w:t>
      </w:r>
      <w:r w:rsidR="00201451">
        <w:t xml:space="preserve"> that the PDCCP monitoring occasion is associated with the SSB</w:t>
      </w:r>
      <w:r w:rsidR="009B6518">
        <w:t xml:space="preserve">, then the UE can </w:t>
      </w:r>
      <w:r w:rsidR="006D6510">
        <w:t xml:space="preserve">receive the </w:t>
      </w:r>
      <w:r w:rsidR="00165769">
        <w:t>MBS PDCCH</w:t>
      </w:r>
      <w:r w:rsidR="008D5246">
        <w:t xml:space="preserve"> via the </w:t>
      </w:r>
      <w:r w:rsidR="00226F32">
        <w:t>MBS searching space/CORESET</w:t>
      </w:r>
      <w:r w:rsidR="0081279E">
        <w:t xml:space="preserve"> associated with a specific SSB</w:t>
      </w:r>
      <w:r w:rsidR="00270789">
        <w:t>.</w:t>
      </w:r>
      <w:r w:rsidR="00AF47DE">
        <w:t xml:space="preserve"> </w:t>
      </w:r>
      <w:r w:rsidR="00AF6C89">
        <w:t xml:space="preserve">The MBS-specific CORESET can be used for the case 1 illustrated </w:t>
      </w:r>
      <w:r w:rsidR="009D6E1F">
        <w:t xml:space="preserve">in section 2.1 </w:t>
      </w:r>
      <w:r w:rsidR="00C97A01">
        <w:t>so as to utilize the wider bandwidth of the MBS BWP</w:t>
      </w:r>
      <w:r w:rsidR="00C9457E">
        <w:t xml:space="preserve">. </w:t>
      </w:r>
    </w:p>
    <w:p w14:paraId="3F83297D" w14:textId="50DB6EB6" w:rsidR="00B07477" w:rsidRPr="00065E21" w:rsidRDefault="008244F1" w:rsidP="00CD66BD">
      <w:pPr>
        <w:rPr>
          <w:b/>
        </w:rPr>
      </w:pPr>
      <w:r>
        <w:t xml:space="preserve">The details on how to </w:t>
      </w:r>
      <w:r w:rsidR="00086DD4">
        <w:t>configure</w:t>
      </w:r>
      <w:r>
        <w:t xml:space="preserve"> the relation between SSB and the MBS searching space can be discussed furth</w:t>
      </w:r>
      <w:r w:rsidR="00096CAD">
        <w:rPr>
          <w:lang w:val="en-US"/>
        </w:rPr>
        <w:t xml:space="preserve">er. For example, similar to </w:t>
      </w:r>
      <w:r w:rsidR="00096CAD">
        <w:t>the calculation of the corresponding paging PDCCH monitoring occasion, where the</w:t>
      </w:r>
      <w:r w:rsidR="00096CAD" w:rsidRPr="006C3664">
        <w:rPr>
          <w:lang w:eastAsia="ko-KR"/>
        </w:rPr>
        <w:t xml:space="preserve"> </w:t>
      </w:r>
      <w:r w:rsidR="00096CAD" w:rsidRPr="006C3664">
        <w:t>PDCCH monitoring occasion</w:t>
      </w:r>
      <w:r w:rsidR="00096CAD" w:rsidRPr="006C3664">
        <w:rPr>
          <w:lang w:eastAsia="ko-KR"/>
        </w:rPr>
        <w:t>s</w:t>
      </w:r>
      <w:r w:rsidR="00096CAD">
        <w:rPr>
          <w:lang w:eastAsia="ko-KR"/>
        </w:rPr>
        <w:t xml:space="preserve"> for paging</w:t>
      </w:r>
      <w:r w:rsidR="00CC110F">
        <w:rPr>
          <w:lang w:eastAsia="ko-KR"/>
        </w:rPr>
        <w:t xml:space="preserve"> </w:t>
      </w:r>
      <w:r w:rsidR="00CC110F">
        <w:rPr>
          <w:lang w:val="en-US" w:eastAsia="ko-KR"/>
        </w:rPr>
        <w:t>corresponds to each SSB</w:t>
      </w:r>
      <w:r w:rsidR="00096CAD">
        <w:rPr>
          <w:lang w:eastAsia="ko-KR"/>
        </w:rPr>
        <w:t xml:space="preserve"> is located consecutively</w:t>
      </w:r>
      <w:r w:rsidR="00CC110F">
        <w:rPr>
          <w:lang w:eastAsia="ko-KR"/>
        </w:rPr>
        <w:t>.</w:t>
      </w:r>
    </w:p>
    <w:p w14:paraId="0B804B60" w14:textId="35508172" w:rsidR="00CA62C6" w:rsidRDefault="00AF6C89" w:rsidP="00CD66BD">
      <w:pPr>
        <w:rPr>
          <w:b/>
        </w:rPr>
      </w:pPr>
      <w:r w:rsidRPr="008465B2">
        <w:rPr>
          <w:b/>
        </w:rPr>
        <w:t xml:space="preserve">Proposal </w:t>
      </w:r>
      <w:r w:rsidR="00C74718">
        <w:rPr>
          <w:b/>
        </w:rPr>
        <w:t>2</w:t>
      </w:r>
      <w:r w:rsidRPr="008465B2">
        <w:rPr>
          <w:b/>
        </w:rPr>
        <w:t>: The MBS-specific CORESET</w:t>
      </w:r>
      <w:r w:rsidR="007F2043" w:rsidRPr="008465B2">
        <w:rPr>
          <w:b/>
        </w:rPr>
        <w:t>/</w:t>
      </w:r>
      <w:proofErr w:type="spellStart"/>
      <w:r w:rsidR="007F2043" w:rsidRPr="008465B2">
        <w:rPr>
          <w:b/>
        </w:rPr>
        <w:t>searchingSpace</w:t>
      </w:r>
      <w:proofErr w:type="spellEnd"/>
      <w:r w:rsidR="007F2043" w:rsidRPr="008465B2">
        <w:rPr>
          <w:b/>
        </w:rPr>
        <w:t xml:space="preserve"> </w:t>
      </w:r>
      <w:r w:rsidR="00672FD1">
        <w:rPr>
          <w:b/>
        </w:rPr>
        <w:t>can be</w:t>
      </w:r>
      <w:r w:rsidR="007F2043" w:rsidRPr="008465B2">
        <w:rPr>
          <w:b/>
        </w:rPr>
        <w:t xml:space="preserve"> configured</w:t>
      </w:r>
      <w:r w:rsidR="008465B2" w:rsidRPr="008465B2">
        <w:rPr>
          <w:b/>
        </w:rPr>
        <w:t>.</w:t>
      </w:r>
    </w:p>
    <w:p w14:paraId="7743DAE6" w14:textId="6C82C369" w:rsidR="006A10DC" w:rsidRPr="004B48FF" w:rsidRDefault="006A10DC" w:rsidP="00CD66BD">
      <w:pPr>
        <w:rPr>
          <w:b/>
          <w:lang w:val="en-US"/>
        </w:rPr>
      </w:pPr>
      <w:r>
        <w:rPr>
          <w:b/>
        </w:rPr>
        <w:t xml:space="preserve">Proposal </w:t>
      </w:r>
      <w:r w:rsidR="00C74718">
        <w:rPr>
          <w:b/>
        </w:rPr>
        <w:t>3</w:t>
      </w:r>
      <w:r>
        <w:rPr>
          <w:b/>
        </w:rPr>
        <w:t xml:space="preserve">: The </w:t>
      </w:r>
      <w:r w:rsidR="0040246A">
        <w:rPr>
          <w:b/>
        </w:rPr>
        <w:t xml:space="preserve">MBS </w:t>
      </w:r>
      <w:r w:rsidR="006255F7">
        <w:rPr>
          <w:b/>
        </w:rPr>
        <w:t xml:space="preserve">PDCCH </w:t>
      </w:r>
      <w:r w:rsidR="0040246A">
        <w:rPr>
          <w:b/>
        </w:rPr>
        <w:t>monitoring occasion is associated with SSB.</w:t>
      </w:r>
    </w:p>
    <w:p w14:paraId="416E6ED4" w14:textId="09CAD12C" w:rsidR="0040246A" w:rsidRPr="00386C2B" w:rsidRDefault="00386C2B" w:rsidP="00CD66BD">
      <w:r>
        <w:rPr>
          <w:rFonts w:hint="eastAsia"/>
        </w:rPr>
        <w:t>As</w:t>
      </w:r>
      <w:r>
        <w:t xml:space="preserve"> the MBS transmission via different beams are </w:t>
      </w:r>
      <w:r w:rsidR="0038222B">
        <w:rPr>
          <w:rFonts w:hint="eastAsia"/>
        </w:rPr>
        <w:t>repeated</w:t>
      </w:r>
      <w:r>
        <w:t xml:space="preserve">, receiving the MBS from only one beam would be </w:t>
      </w:r>
      <w:r w:rsidR="009D6E1F">
        <w:t xml:space="preserve">beneficial </w:t>
      </w:r>
      <w:r>
        <w:t>for</w:t>
      </w:r>
      <w:r w:rsidR="00565CC4">
        <w:t xml:space="preserve"> UE power</w:t>
      </w:r>
      <w:r w:rsidR="009D6E1F">
        <w:t xml:space="preserve"> </w:t>
      </w:r>
      <w:r w:rsidR="00C74718">
        <w:t xml:space="preserve">saving </w:t>
      </w:r>
      <w:r w:rsidR="009D6E1F">
        <w:t>especially for high-SINR case</w:t>
      </w:r>
      <w:r w:rsidR="00565CC4">
        <w:t>.</w:t>
      </w:r>
    </w:p>
    <w:p w14:paraId="1BFDC1AA" w14:textId="17E67063" w:rsidR="006255F7" w:rsidRPr="00386C2B" w:rsidRDefault="006255F7" w:rsidP="00CD66BD">
      <w:r w:rsidRPr="00CC573E">
        <w:rPr>
          <w:b/>
        </w:rPr>
        <w:t xml:space="preserve">Proposal </w:t>
      </w:r>
      <w:r w:rsidR="00C74718">
        <w:rPr>
          <w:b/>
        </w:rPr>
        <w:t>4</w:t>
      </w:r>
      <w:r w:rsidRPr="00CC573E">
        <w:rPr>
          <w:b/>
        </w:rPr>
        <w:t xml:space="preserve">: The UE is only required to monitor </w:t>
      </w:r>
      <w:r w:rsidR="001E33C6" w:rsidRPr="00CC573E">
        <w:rPr>
          <w:b/>
        </w:rPr>
        <w:t>t</w:t>
      </w:r>
      <w:r w:rsidR="00255251" w:rsidRPr="00CC573E">
        <w:rPr>
          <w:b/>
        </w:rPr>
        <w:t>he MBS PDCCH monitoring occasion</w:t>
      </w:r>
      <w:r w:rsidR="001E33C6" w:rsidRPr="00CC573E">
        <w:rPr>
          <w:b/>
        </w:rPr>
        <w:t xml:space="preserve"> associated with </w:t>
      </w:r>
      <w:r w:rsidR="00C74718">
        <w:rPr>
          <w:rFonts w:hint="eastAsia"/>
          <w:b/>
        </w:rPr>
        <w:t xml:space="preserve">at least one </w:t>
      </w:r>
      <w:r w:rsidR="001E33C6" w:rsidRPr="00CC573E">
        <w:rPr>
          <w:b/>
        </w:rPr>
        <w:t>SSB.</w:t>
      </w:r>
    </w:p>
    <w:p w14:paraId="7D082C35" w14:textId="33DECEA7" w:rsidR="00B67973" w:rsidRDefault="00CC573E" w:rsidP="00B67973">
      <w:pPr>
        <w:pStyle w:val="2"/>
        <w:keepLines w:val="0"/>
        <w:tabs>
          <w:tab w:val="clear" w:pos="1002"/>
          <w:tab w:val="num" w:pos="576"/>
        </w:tabs>
        <w:spacing w:line="240" w:lineRule="auto"/>
        <w:ind w:left="0" w:firstLine="0"/>
        <w:jc w:val="left"/>
      </w:pPr>
      <w:r>
        <w:t>Uplink feedback</w:t>
      </w:r>
    </w:p>
    <w:p w14:paraId="69F665B9" w14:textId="2488E0A4" w:rsidR="00855A00" w:rsidRDefault="00875D66" w:rsidP="00F1039D">
      <w:pPr>
        <w:rPr>
          <w:lang w:eastAsia="x-none"/>
        </w:rPr>
      </w:pPr>
      <w:r>
        <w:rPr>
          <w:lang w:eastAsia="x-none"/>
        </w:rPr>
        <w:t xml:space="preserve">Regarding the uplink feedbacks for the MBS reception, we consider that the IDLE/INACTIVE UE should be not required to provide the uplink feedback, as the </w:t>
      </w:r>
      <w:r w:rsidR="002240C9">
        <w:rPr>
          <w:lang w:eastAsia="x-none"/>
        </w:rPr>
        <w:t>UE may not be uplink synchronized with the network</w:t>
      </w:r>
      <w:r w:rsidR="006B061A">
        <w:rPr>
          <w:lang w:eastAsia="x-none"/>
        </w:rPr>
        <w:t xml:space="preserve"> and also does not have UE-specific PUCCH resource</w:t>
      </w:r>
      <w:r w:rsidR="0090186D">
        <w:rPr>
          <w:lang w:eastAsia="x-none"/>
        </w:rPr>
        <w:t xml:space="preserve">. </w:t>
      </w:r>
      <w:r w:rsidR="005C7CCF">
        <w:rPr>
          <w:lang w:eastAsia="x-none"/>
        </w:rPr>
        <w:t xml:space="preserve">Supporting the uplink feedback of the IDLE/INACTIVE UE for the MBS reception would require lots of standard efforts. </w:t>
      </w:r>
      <w:r w:rsidR="00A33452">
        <w:rPr>
          <w:lang w:eastAsia="x-none"/>
        </w:rPr>
        <w:t>Thus we consider that only r</w:t>
      </w:r>
      <w:r w:rsidR="00970187">
        <w:rPr>
          <w:lang w:eastAsia="x-none"/>
        </w:rPr>
        <w:t>equiring the CONNECTED UE to provide the feedbacks would be sufficient to ensure the reliability of the MBS transmission</w:t>
      </w:r>
      <w:r w:rsidR="00E17F3C">
        <w:rPr>
          <w:lang w:eastAsia="x-none"/>
        </w:rPr>
        <w:t xml:space="preserve"> in Rel-17</w:t>
      </w:r>
      <w:r w:rsidR="00970187">
        <w:rPr>
          <w:lang w:eastAsia="x-none"/>
        </w:rPr>
        <w:t>.</w:t>
      </w:r>
    </w:p>
    <w:p w14:paraId="5E362494" w14:textId="7E723F6E" w:rsidR="00746C74" w:rsidRPr="00166C1B" w:rsidRDefault="00746C74">
      <w:pPr>
        <w:rPr>
          <w:b/>
          <w:lang w:eastAsia="ko-KR"/>
        </w:rPr>
      </w:pPr>
      <w:r w:rsidRPr="00166C1B">
        <w:rPr>
          <w:b/>
          <w:lang w:eastAsia="x-none"/>
        </w:rPr>
        <w:t xml:space="preserve">Proposal </w:t>
      </w:r>
      <w:r w:rsidR="00C74718">
        <w:rPr>
          <w:b/>
          <w:lang w:eastAsia="x-none"/>
        </w:rPr>
        <w:t>5</w:t>
      </w:r>
      <w:r w:rsidRPr="00166C1B">
        <w:rPr>
          <w:b/>
          <w:lang w:eastAsia="x-none"/>
        </w:rPr>
        <w:t xml:space="preserve">: Uplink feedback for MBS reception is not supported for </w:t>
      </w:r>
      <w:r w:rsidR="00165A00" w:rsidRPr="00166C1B">
        <w:rPr>
          <w:b/>
          <w:lang w:eastAsia="x-none"/>
        </w:rPr>
        <w:t xml:space="preserve">the </w:t>
      </w:r>
      <w:r w:rsidRPr="00166C1B">
        <w:rPr>
          <w:b/>
          <w:lang w:eastAsia="x-none"/>
        </w:rPr>
        <w:t>IDLE/INACTIVE UE.</w:t>
      </w:r>
    </w:p>
    <w:p w14:paraId="1662BD9E" w14:textId="77777777" w:rsidR="00DA44DE" w:rsidRDefault="00DA44DE" w:rsidP="00DA44DE">
      <w:pPr>
        <w:pStyle w:val="1"/>
        <w:jc w:val="left"/>
      </w:pPr>
      <w:r>
        <w:t>Conclusions</w:t>
      </w:r>
    </w:p>
    <w:p w14:paraId="651118C8" w14:textId="5A2879E8" w:rsidR="00DA44DE" w:rsidRDefault="00C74718" w:rsidP="00DA44DE">
      <w:pPr>
        <w:spacing w:afterLines="50" w:line="240" w:lineRule="auto"/>
        <w:jc w:val="left"/>
      </w:pPr>
      <w:r>
        <w:t>For IDLE/INACTIVE UEs, this contribution propose the followings b</w:t>
      </w:r>
      <w:r w:rsidR="00DA44DE">
        <w:t>ased on the analysis given above</w:t>
      </w:r>
      <w:r>
        <w:t>,</w:t>
      </w:r>
    </w:p>
    <w:p w14:paraId="6B1DEF2E" w14:textId="5DD9A6E6" w:rsidR="00C74718" w:rsidRDefault="00C74718" w:rsidP="00C74718">
      <w:pPr>
        <w:rPr>
          <w:b/>
        </w:rPr>
      </w:pPr>
      <w:r w:rsidRPr="005A6DDC">
        <w:rPr>
          <w:b/>
        </w:rPr>
        <w:t xml:space="preserve">Proposal 1: </w:t>
      </w:r>
      <w:r w:rsidR="000301C8">
        <w:rPr>
          <w:b/>
        </w:rPr>
        <w:t>F</w:t>
      </w:r>
      <w:r>
        <w:rPr>
          <w:b/>
        </w:rPr>
        <w:t>or MBS transmission bandwidth part, the following cases are supported for Rel-17 MBS</w:t>
      </w:r>
    </w:p>
    <w:p w14:paraId="766DA7F3" w14:textId="77777777" w:rsidR="00C74718" w:rsidRPr="004B48FF" w:rsidRDefault="00C74718" w:rsidP="00C74718">
      <w:pPr>
        <w:pStyle w:val="af6"/>
        <w:numPr>
          <w:ilvl w:val="0"/>
          <w:numId w:val="43"/>
        </w:numPr>
        <w:ind w:firstLineChars="0"/>
        <w:rPr>
          <w:b/>
          <w:sz w:val="22"/>
        </w:rPr>
      </w:pPr>
      <w:r w:rsidRPr="004B48FF">
        <w:rPr>
          <w:b/>
          <w:sz w:val="22"/>
        </w:rPr>
        <w:t>case 1: The MBS transmission is included within the initial BWP.</w:t>
      </w:r>
    </w:p>
    <w:p w14:paraId="720C9346" w14:textId="11E3FCCE" w:rsidR="00053979" w:rsidRDefault="00C74718" w:rsidP="004B48FF">
      <w:pPr>
        <w:pStyle w:val="af6"/>
        <w:numPr>
          <w:ilvl w:val="0"/>
          <w:numId w:val="43"/>
        </w:numPr>
        <w:ind w:firstLineChars="0"/>
      </w:pPr>
      <w:r w:rsidRPr="004B48FF">
        <w:rPr>
          <w:b/>
          <w:sz w:val="22"/>
        </w:rPr>
        <w:t>case 2: The initial BWP is included within the MBS transmission bandwidth.</w:t>
      </w:r>
    </w:p>
    <w:p w14:paraId="41238064" w14:textId="77777777" w:rsidR="00C74718" w:rsidRDefault="00C74718" w:rsidP="004B48FF">
      <w:pPr>
        <w:spacing w:before="120"/>
        <w:rPr>
          <w:b/>
        </w:rPr>
      </w:pPr>
      <w:r w:rsidRPr="008465B2">
        <w:rPr>
          <w:b/>
        </w:rPr>
        <w:t xml:space="preserve">Proposal </w:t>
      </w:r>
      <w:r>
        <w:rPr>
          <w:b/>
        </w:rPr>
        <w:t>2</w:t>
      </w:r>
      <w:r w:rsidRPr="008465B2">
        <w:rPr>
          <w:b/>
        </w:rPr>
        <w:t xml:space="preserve">: The MBS-specific CORESET/searchingSpace </w:t>
      </w:r>
      <w:r>
        <w:rPr>
          <w:b/>
        </w:rPr>
        <w:t>can be</w:t>
      </w:r>
      <w:r w:rsidRPr="008465B2">
        <w:rPr>
          <w:b/>
        </w:rPr>
        <w:t xml:space="preserve"> configured.</w:t>
      </w:r>
    </w:p>
    <w:p w14:paraId="677AE06F" w14:textId="7266201B" w:rsidR="00053979" w:rsidRDefault="00C74718" w:rsidP="00053979">
      <w:pPr>
        <w:rPr>
          <w:b/>
        </w:rPr>
      </w:pPr>
      <w:r>
        <w:rPr>
          <w:b/>
        </w:rPr>
        <w:t>Proposal 3: The MBS PDCCH monitoring occasion is associated with SSB.</w:t>
      </w:r>
    </w:p>
    <w:p w14:paraId="5F68FD8D" w14:textId="52EAB1A1" w:rsidR="00BD1843" w:rsidRPr="00CC573E" w:rsidRDefault="00C74718" w:rsidP="00BD1843">
      <w:pPr>
        <w:rPr>
          <w:b/>
        </w:rPr>
      </w:pPr>
      <w:r w:rsidRPr="00CC573E">
        <w:rPr>
          <w:b/>
        </w:rPr>
        <w:t xml:space="preserve">Proposal </w:t>
      </w:r>
      <w:r>
        <w:rPr>
          <w:b/>
        </w:rPr>
        <w:t>4</w:t>
      </w:r>
      <w:r w:rsidRPr="00CC573E">
        <w:rPr>
          <w:b/>
        </w:rPr>
        <w:t xml:space="preserve">: The UE is only required to monitor the MBS PDCCH monitoring occasion associated with </w:t>
      </w:r>
      <w:r>
        <w:rPr>
          <w:rFonts w:hint="eastAsia"/>
          <w:b/>
        </w:rPr>
        <w:t xml:space="preserve">at least one </w:t>
      </w:r>
      <w:r w:rsidRPr="00CC573E">
        <w:rPr>
          <w:b/>
        </w:rPr>
        <w:t>SSB.</w:t>
      </w:r>
    </w:p>
    <w:p w14:paraId="4E58C766" w14:textId="64F797C5" w:rsidR="002111F2" w:rsidRPr="00166C1B" w:rsidRDefault="00C74718" w:rsidP="002111F2">
      <w:pPr>
        <w:rPr>
          <w:b/>
          <w:lang w:eastAsia="ko-KR"/>
        </w:rPr>
      </w:pPr>
      <w:r w:rsidRPr="00166C1B">
        <w:rPr>
          <w:b/>
          <w:lang w:eastAsia="x-none"/>
        </w:rPr>
        <w:t xml:space="preserve">Proposal </w:t>
      </w:r>
      <w:r>
        <w:rPr>
          <w:b/>
          <w:lang w:eastAsia="x-none"/>
        </w:rPr>
        <w:t>5</w:t>
      </w:r>
      <w:r w:rsidRPr="00166C1B">
        <w:rPr>
          <w:b/>
          <w:lang w:eastAsia="x-none"/>
        </w:rPr>
        <w:t>: Uplink feedback for MBS reception is not supported for the IDLE/INACTIVE UE.</w:t>
      </w:r>
    </w:p>
    <w:p w14:paraId="3BC88D23" w14:textId="77777777" w:rsidR="008A75AD" w:rsidRDefault="008A75AD" w:rsidP="00DA44DE">
      <w:pPr>
        <w:spacing w:afterLines="50" w:line="240" w:lineRule="auto"/>
        <w:jc w:val="left"/>
      </w:pPr>
    </w:p>
    <w:p w14:paraId="513DE901" w14:textId="77777777" w:rsidR="00DA44DE" w:rsidRDefault="00DA44DE" w:rsidP="00DA44DE">
      <w:pPr>
        <w:pStyle w:val="1"/>
        <w:tabs>
          <w:tab w:val="left" w:pos="432"/>
        </w:tabs>
        <w:spacing w:before="180" w:line="240" w:lineRule="auto"/>
        <w:ind w:left="0" w:firstLine="0"/>
        <w:jc w:val="left"/>
      </w:pPr>
      <w:bookmarkStart w:id="4" w:name="_Toc502437832"/>
      <w:r>
        <w:lastRenderedPageBreak/>
        <w:t>Reference</w:t>
      </w:r>
    </w:p>
    <w:bookmarkEnd w:id="4"/>
    <w:p w14:paraId="55478ED5" w14:textId="3709E9AC" w:rsidR="00600282"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2F998975" w14:textId="3ABFA985" w:rsidR="00421646" w:rsidRDefault="0058604D" w:rsidP="00C868BB">
      <w:pPr>
        <w:spacing w:afterLines="50" w:line="240" w:lineRule="auto"/>
        <w:jc w:val="left"/>
      </w:pPr>
      <w:r>
        <w:t>[2] 3GPP TS 38.304, “</w:t>
      </w:r>
      <w:r w:rsidR="00085104">
        <w:t xml:space="preserve">NR; </w:t>
      </w:r>
      <w:r w:rsidR="00085104" w:rsidRPr="006C3664">
        <w:t>User Equipment (UE) procedures in Idle mode and RRC</w:t>
      </w:r>
      <w:r w:rsidR="00085104">
        <w:t xml:space="preserve"> Inactive state</w:t>
      </w:r>
      <w:r>
        <w:t>”</w:t>
      </w:r>
    </w:p>
    <w:p w14:paraId="5EF9A853" w14:textId="77777777" w:rsidR="008244F1" w:rsidRDefault="008244F1" w:rsidP="00C868BB">
      <w:pPr>
        <w:spacing w:afterLines="50" w:line="240" w:lineRule="auto"/>
        <w:jc w:val="left"/>
      </w:pPr>
    </w:p>
    <w:sectPr w:rsidR="008244F1"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956D7" w14:textId="77777777" w:rsidR="00B30E61" w:rsidRDefault="00B30E61">
      <w:pPr>
        <w:spacing w:after="0" w:line="240" w:lineRule="auto"/>
      </w:pPr>
      <w:r>
        <w:separator/>
      </w:r>
    </w:p>
  </w:endnote>
  <w:endnote w:type="continuationSeparator" w:id="0">
    <w:p w14:paraId="678FB8E5" w14:textId="77777777" w:rsidR="00B30E61" w:rsidRDefault="00B30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91FC0" w14:textId="77777777" w:rsidR="00B30E61" w:rsidRDefault="00B30E61">
      <w:pPr>
        <w:spacing w:after="0" w:line="240" w:lineRule="auto"/>
      </w:pPr>
      <w:r>
        <w:separator/>
      </w:r>
    </w:p>
  </w:footnote>
  <w:footnote w:type="continuationSeparator" w:id="0">
    <w:p w14:paraId="17A1A885" w14:textId="77777777" w:rsidR="00B30E61" w:rsidRDefault="00B30E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434B76"/>
    <w:multiLevelType w:val="hybridMultilevel"/>
    <w:tmpl w:val="70CE1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A01C75"/>
    <w:multiLevelType w:val="hybridMultilevel"/>
    <w:tmpl w:val="D5163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B3B33"/>
    <w:multiLevelType w:val="hybridMultilevel"/>
    <w:tmpl w:val="B52E29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F10299"/>
    <w:multiLevelType w:val="hybridMultilevel"/>
    <w:tmpl w:val="D076EA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76133E"/>
    <w:multiLevelType w:val="hybridMultilevel"/>
    <w:tmpl w:val="F14A5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1E4C7C"/>
    <w:multiLevelType w:val="hybridMultilevel"/>
    <w:tmpl w:val="FFDEA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2F02B1C"/>
    <w:multiLevelType w:val="hybridMultilevel"/>
    <w:tmpl w:val="31088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F138F0"/>
    <w:multiLevelType w:val="hybridMultilevel"/>
    <w:tmpl w:val="4204170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15"/>
  </w:num>
  <w:num w:numId="4">
    <w:abstractNumId w:val="4"/>
  </w:num>
  <w:num w:numId="5">
    <w:abstractNumId w:val="9"/>
  </w:num>
  <w:num w:numId="6">
    <w:abstractNumId w:val="26"/>
  </w:num>
  <w:num w:numId="7">
    <w:abstractNumId w:val="21"/>
  </w:num>
  <w:num w:numId="8">
    <w:abstractNumId w:val="8"/>
  </w:num>
  <w:num w:numId="9">
    <w:abstractNumId w:val="19"/>
  </w:num>
  <w:num w:numId="10">
    <w:abstractNumId w:val="2"/>
  </w:num>
  <w:num w:numId="11">
    <w:abstractNumId w:val="1"/>
  </w:num>
  <w:num w:numId="12">
    <w:abstractNumId w:val="23"/>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7"/>
  </w:num>
  <w:num w:numId="18">
    <w:abstractNumId w:val="13"/>
  </w:num>
  <w:num w:numId="19">
    <w:abstractNumId w:val="29"/>
  </w:num>
  <w:num w:numId="20">
    <w:abstractNumId w:val="25"/>
  </w:num>
  <w:num w:numId="21">
    <w:abstractNumId w:val="22"/>
  </w:num>
  <w:num w:numId="22">
    <w:abstractNumId w:val="11"/>
  </w:num>
  <w:num w:numId="23">
    <w:abstractNumId w:val="18"/>
  </w:num>
  <w:num w:numId="24">
    <w:abstractNumId w:val="1"/>
  </w:num>
  <w:num w:numId="25">
    <w:abstractNumId w:val="7"/>
  </w:num>
  <w:num w:numId="26">
    <w:abstractNumId w:val="27"/>
  </w:num>
  <w:num w:numId="27">
    <w:abstractNumId w:val="30"/>
  </w:num>
  <w:num w:numId="28">
    <w:abstractNumId w:val="16"/>
  </w:num>
  <w:num w:numId="29">
    <w:abstractNumId w:val="1"/>
  </w:num>
  <w:num w:numId="30">
    <w:abstractNumId w:val="1"/>
  </w:num>
  <w:num w:numId="31">
    <w:abstractNumId w:val="6"/>
  </w:num>
  <w:num w:numId="32">
    <w:abstractNumId w:val="1"/>
  </w:num>
  <w:num w:numId="33">
    <w:abstractNumId w:val="5"/>
  </w:num>
  <w:num w:numId="34">
    <w:abstractNumId w:val="20"/>
  </w:num>
  <w:num w:numId="35">
    <w:abstractNumId w:val="28"/>
  </w:num>
  <w:num w:numId="36">
    <w:abstractNumId w:val="10"/>
  </w:num>
  <w:num w:numId="37">
    <w:abstractNumId w:val="1"/>
  </w:num>
  <w:num w:numId="38">
    <w:abstractNumId w:val="3"/>
  </w:num>
  <w:num w:numId="39">
    <w:abstractNumId w:val="24"/>
  </w:num>
  <w:num w:numId="40">
    <w:abstractNumId w:val="1"/>
  </w:num>
  <w:num w:numId="41">
    <w:abstractNumId w:val="1"/>
  </w:num>
  <w:num w:numId="42">
    <w:abstractNumId w:val="1"/>
  </w:num>
  <w:num w:numId="43">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C4F"/>
    <w:rsid w:val="000154C5"/>
    <w:rsid w:val="00015626"/>
    <w:rsid w:val="000168B4"/>
    <w:rsid w:val="000168F5"/>
    <w:rsid w:val="00016AAF"/>
    <w:rsid w:val="00016D91"/>
    <w:rsid w:val="000178FF"/>
    <w:rsid w:val="00017AAC"/>
    <w:rsid w:val="00017B82"/>
    <w:rsid w:val="000201BE"/>
    <w:rsid w:val="000202F6"/>
    <w:rsid w:val="00020711"/>
    <w:rsid w:val="00020EEB"/>
    <w:rsid w:val="00021438"/>
    <w:rsid w:val="0002174B"/>
    <w:rsid w:val="00021EC9"/>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1C8"/>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BB8"/>
    <w:rsid w:val="00081E1D"/>
    <w:rsid w:val="00081E54"/>
    <w:rsid w:val="000822EC"/>
    <w:rsid w:val="00082A79"/>
    <w:rsid w:val="00082C74"/>
    <w:rsid w:val="00083BD2"/>
    <w:rsid w:val="00083C4D"/>
    <w:rsid w:val="00083E8A"/>
    <w:rsid w:val="0008402C"/>
    <w:rsid w:val="00084367"/>
    <w:rsid w:val="000849B7"/>
    <w:rsid w:val="00085104"/>
    <w:rsid w:val="000857B0"/>
    <w:rsid w:val="000862C0"/>
    <w:rsid w:val="00086B41"/>
    <w:rsid w:val="00086DD4"/>
    <w:rsid w:val="00086FB4"/>
    <w:rsid w:val="000874F6"/>
    <w:rsid w:val="00090031"/>
    <w:rsid w:val="000902B7"/>
    <w:rsid w:val="00090B25"/>
    <w:rsid w:val="00090CFA"/>
    <w:rsid w:val="00090DFC"/>
    <w:rsid w:val="00090F64"/>
    <w:rsid w:val="00091492"/>
    <w:rsid w:val="00091792"/>
    <w:rsid w:val="0009193A"/>
    <w:rsid w:val="00091A3E"/>
    <w:rsid w:val="0009216B"/>
    <w:rsid w:val="00093179"/>
    <w:rsid w:val="00093B7E"/>
    <w:rsid w:val="00093E4B"/>
    <w:rsid w:val="000951A9"/>
    <w:rsid w:val="0009608E"/>
    <w:rsid w:val="00096252"/>
    <w:rsid w:val="00096795"/>
    <w:rsid w:val="000967FA"/>
    <w:rsid w:val="00096835"/>
    <w:rsid w:val="00096A75"/>
    <w:rsid w:val="00096CAD"/>
    <w:rsid w:val="00096F49"/>
    <w:rsid w:val="00096F7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724F"/>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4F1"/>
    <w:rsid w:val="00107B07"/>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318C"/>
    <w:rsid w:val="00133DB6"/>
    <w:rsid w:val="00134A8A"/>
    <w:rsid w:val="00135DEA"/>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8BF"/>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0FA6"/>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732"/>
    <w:rsid w:val="00196949"/>
    <w:rsid w:val="00196EEE"/>
    <w:rsid w:val="00197076"/>
    <w:rsid w:val="001975F3"/>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33C6"/>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291"/>
    <w:rsid w:val="0022681B"/>
    <w:rsid w:val="00226847"/>
    <w:rsid w:val="00226E72"/>
    <w:rsid w:val="00226F3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251"/>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1BF0"/>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E4"/>
    <w:rsid w:val="00291FBB"/>
    <w:rsid w:val="002920F3"/>
    <w:rsid w:val="002923A4"/>
    <w:rsid w:val="00292635"/>
    <w:rsid w:val="00292A18"/>
    <w:rsid w:val="00292E26"/>
    <w:rsid w:val="0029355F"/>
    <w:rsid w:val="002936DA"/>
    <w:rsid w:val="00293960"/>
    <w:rsid w:val="00293D6D"/>
    <w:rsid w:val="002947F9"/>
    <w:rsid w:val="00294E54"/>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4A4"/>
    <w:rsid w:val="0033659F"/>
    <w:rsid w:val="00336735"/>
    <w:rsid w:val="00336D7B"/>
    <w:rsid w:val="00336EFD"/>
    <w:rsid w:val="00337094"/>
    <w:rsid w:val="00337317"/>
    <w:rsid w:val="00337C96"/>
    <w:rsid w:val="00337E5C"/>
    <w:rsid w:val="00337EA0"/>
    <w:rsid w:val="003406DC"/>
    <w:rsid w:val="00341815"/>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22D"/>
    <w:rsid w:val="0036331F"/>
    <w:rsid w:val="00363525"/>
    <w:rsid w:val="00363A22"/>
    <w:rsid w:val="00364A1B"/>
    <w:rsid w:val="00365297"/>
    <w:rsid w:val="003652C2"/>
    <w:rsid w:val="00365722"/>
    <w:rsid w:val="00365803"/>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22B"/>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2B6"/>
    <w:rsid w:val="003D04B3"/>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96D"/>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E3F"/>
    <w:rsid w:val="00422199"/>
    <w:rsid w:val="00422844"/>
    <w:rsid w:val="00422EE5"/>
    <w:rsid w:val="004233D3"/>
    <w:rsid w:val="0042357C"/>
    <w:rsid w:val="00423D7C"/>
    <w:rsid w:val="004246BC"/>
    <w:rsid w:val="004250F7"/>
    <w:rsid w:val="00425115"/>
    <w:rsid w:val="00425196"/>
    <w:rsid w:val="0042566B"/>
    <w:rsid w:val="004256B4"/>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70E8"/>
    <w:rsid w:val="00487608"/>
    <w:rsid w:val="00487C88"/>
    <w:rsid w:val="00487E43"/>
    <w:rsid w:val="0049056D"/>
    <w:rsid w:val="00490696"/>
    <w:rsid w:val="0049093F"/>
    <w:rsid w:val="00490CA0"/>
    <w:rsid w:val="0049121D"/>
    <w:rsid w:val="004914A2"/>
    <w:rsid w:val="004919F6"/>
    <w:rsid w:val="00491BAF"/>
    <w:rsid w:val="00491E56"/>
    <w:rsid w:val="004920C0"/>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676"/>
    <w:rsid w:val="004B3699"/>
    <w:rsid w:val="004B37D8"/>
    <w:rsid w:val="004B3CC7"/>
    <w:rsid w:val="004B406F"/>
    <w:rsid w:val="004B47A9"/>
    <w:rsid w:val="004B48FF"/>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4D41"/>
    <w:rsid w:val="005653FB"/>
    <w:rsid w:val="005659C4"/>
    <w:rsid w:val="00565C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DDC"/>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0A3"/>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5615"/>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037"/>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6C74"/>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C35"/>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F67"/>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153"/>
    <w:rsid w:val="008573F7"/>
    <w:rsid w:val="00857B7F"/>
    <w:rsid w:val="00857C19"/>
    <w:rsid w:val="00860281"/>
    <w:rsid w:val="0086037C"/>
    <w:rsid w:val="0086043A"/>
    <w:rsid w:val="00860573"/>
    <w:rsid w:val="00860611"/>
    <w:rsid w:val="008608F6"/>
    <w:rsid w:val="008609E0"/>
    <w:rsid w:val="00860BC5"/>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246"/>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86D"/>
    <w:rsid w:val="00901EF3"/>
    <w:rsid w:val="009028BA"/>
    <w:rsid w:val="00902DB7"/>
    <w:rsid w:val="00902F71"/>
    <w:rsid w:val="00903399"/>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95"/>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8AF"/>
    <w:rsid w:val="00966F6F"/>
    <w:rsid w:val="00966FAF"/>
    <w:rsid w:val="00970187"/>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709"/>
    <w:rsid w:val="009A58B1"/>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BB3"/>
    <w:rsid w:val="009B3DE9"/>
    <w:rsid w:val="009B4055"/>
    <w:rsid w:val="009B4615"/>
    <w:rsid w:val="009B4AD9"/>
    <w:rsid w:val="009B4D63"/>
    <w:rsid w:val="009B4EDB"/>
    <w:rsid w:val="009B54D4"/>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6E1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EFE"/>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523"/>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6D0"/>
    <w:rsid w:val="00AF6C89"/>
    <w:rsid w:val="00AF6D66"/>
    <w:rsid w:val="00AF7ABF"/>
    <w:rsid w:val="00AF7C99"/>
    <w:rsid w:val="00AF7FD8"/>
    <w:rsid w:val="00B00D3B"/>
    <w:rsid w:val="00B0145D"/>
    <w:rsid w:val="00B01DFA"/>
    <w:rsid w:val="00B01EC5"/>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EB6"/>
    <w:rsid w:val="00B24201"/>
    <w:rsid w:val="00B2449B"/>
    <w:rsid w:val="00B24D18"/>
    <w:rsid w:val="00B257A5"/>
    <w:rsid w:val="00B25976"/>
    <w:rsid w:val="00B25A6A"/>
    <w:rsid w:val="00B25F9B"/>
    <w:rsid w:val="00B263AB"/>
    <w:rsid w:val="00B264A6"/>
    <w:rsid w:val="00B26886"/>
    <w:rsid w:val="00B26C7C"/>
    <w:rsid w:val="00B26F98"/>
    <w:rsid w:val="00B2734B"/>
    <w:rsid w:val="00B276A4"/>
    <w:rsid w:val="00B2782A"/>
    <w:rsid w:val="00B305EF"/>
    <w:rsid w:val="00B30E61"/>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6B"/>
    <w:rsid w:val="00B402C6"/>
    <w:rsid w:val="00B40906"/>
    <w:rsid w:val="00B40E06"/>
    <w:rsid w:val="00B40F92"/>
    <w:rsid w:val="00B41597"/>
    <w:rsid w:val="00B41C61"/>
    <w:rsid w:val="00B4220F"/>
    <w:rsid w:val="00B42FE2"/>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58"/>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B74"/>
    <w:rsid w:val="00BA5099"/>
    <w:rsid w:val="00BA59BB"/>
    <w:rsid w:val="00BA59DE"/>
    <w:rsid w:val="00BA5CA9"/>
    <w:rsid w:val="00BA5F12"/>
    <w:rsid w:val="00BA62B9"/>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13"/>
    <w:rsid w:val="00BD0FB8"/>
    <w:rsid w:val="00BD12EE"/>
    <w:rsid w:val="00BD1843"/>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718"/>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0F"/>
    <w:rsid w:val="00CC1135"/>
    <w:rsid w:val="00CC3143"/>
    <w:rsid w:val="00CC33C3"/>
    <w:rsid w:val="00CC437A"/>
    <w:rsid w:val="00CC45A1"/>
    <w:rsid w:val="00CC5200"/>
    <w:rsid w:val="00CC573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2D"/>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3AB"/>
    <w:rsid w:val="00E134DE"/>
    <w:rsid w:val="00E140B7"/>
    <w:rsid w:val="00E14A58"/>
    <w:rsid w:val="00E156F7"/>
    <w:rsid w:val="00E157D2"/>
    <w:rsid w:val="00E15A13"/>
    <w:rsid w:val="00E16817"/>
    <w:rsid w:val="00E16DD1"/>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274"/>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39D"/>
    <w:rsid w:val="00F10EBF"/>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0DF"/>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874AB"/>
    <w:rsid w:val="00F903A2"/>
    <w:rsid w:val="00F911DB"/>
    <w:rsid w:val="00F911DF"/>
    <w:rsid w:val="00F91EFF"/>
    <w:rsid w:val="00F92257"/>
    <w:rsid w:val="00F922B3"/>
    <w:rsid w:val="00F92F38"/>
    <w:rsid w:val="00F930C5"/>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25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33081-6F56-4FD2-B50C-B3B5AC546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701</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李娜-5G</cp:lastModifiedBy>
  <cp:revision>3</cp:revision>
  <cp:lastPrinted>2018-04-04T09:40:00Z</cp:lastPrinted>
  <dcterms:created xsi:type="dcterms:W3CDTF">2020-08-07T08:01:00Z</dcterms:created>
  <dcterms:modified xsi:type="dcterms:W3CDTF">2020-08-07T15:13:00Z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